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241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18"/>
        <w:gridCol w:w="222"/>
      </w:tblGrid>
      <w:tr>
        <w:trPr>
          <w:trHeight w:val="2077" w:hRule="atLeast"/>
        </w:trPr>
        <w:tc>
          <w:tcPr>
            <w:tcW w:w="1601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Ростова-на-Дону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«Школа № 60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имени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пятого гвардейского Донского казачьего кавалерийского Краснознаменного Будапештского корпуса»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(МАОУ «Школа № 60»)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u w:val="doub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u w:val="double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228" w:before="0" w:after="0"/>
              <w:ind w:right="3884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pacing w:lineRule="auto" w:line="228" w:before="0" w:after="0"/>
              <w:ind w:right="3884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pacing w:lineRule="auto" w:line="228" w:before="0" w:after="0"/>
              <w:ind w:right="3884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</w:r>
          </w:p>
          <w:p>
            <w:pPr>
              <w:pStyle w:val="Normal"/>
              <w:spacing w:lineRule="auto" w:line="228" w:before="0" w:after="0"/>
              <w:ind w:right="3886"/>
              <w:jc w:val="righ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tbl>
            <w:tblPr>
              <w:tblW w:w="14493" w:type="dxa"/>
              <w:jc w:val="left"/>
              <w:tblInd w:w="142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3002"/>
              <w:gridCol w:w="3119"/>
              <w:gridCol w:w="8372"/>
            </w:tblGrid>
            <w:tr>
              <w:trPr>
                <w:trHeight w:val="274" w:hRule="exact"/>
              </w:trPr>
              <w:tc>
                <w:tcPr>
                  <w:tcW w:w="3002" w:type="dxa"/>
                  <w:tcBorders/>
                </w:tcPr>
                <w:p>
                  <w:pPr>
                    <w:pStyle w:val="Normal"/>
                    <w:spacing w:lineRule="auto" w:line="228" w:before="0" w:after="0"/>
                    <w:ind w:left="142"/>
                    <w:jc w:val="both"/>
                    <w:rPr>
                      <w:rFonts w:ascii="Calibri" w:hAnsi="Calibri"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</w:r>
                </w:p>
              </w:tc>
              <w:tc>
                <w:tcPr>
                  <w:tcW w:w="3119" w:type="dxa"/>
                  <w:tcBorders/>
                </w:tcPr>
                <w:p>
                  <w:pPr>
                    <w:pStyle w:val="Normal"/>
                    <w:spacing w:lineRule="auto" w:line="228" w:before="0" w:after="0"/>
                    <w:jc w:val="both"/>
                    <w:rPr>
                      <w:rFonts w:ascii="Calibri" w:hAnsi="Calibri"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</w:r>
                </w:p>
              </w:tc>
              <w:tc>
                <w:tcPr>
                  <w:tcW w:w="8372" w:type="dxa"/>
                  <w:tcBorders/>
                </w:tcPr>
                <w:p>
                  <w:pPr>
                    <w:pStyle w:val="Normal"/>
                    <w:spacing w:lineRule="auto" w:line="228" w:before="0" w:after="0"/>
                    <w:ind w:left="142"/>
                    <w:jc w:val="right"/>
                    <w:rPr>
                      <w:rFonts w:ascii="Calibri" w:hAnsi="Calibri" w:eastAsia="Calibri" w:cs="Times New Roman"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w w:val="102"/>
                    </w:rPr>
                    <w:t xml:space="preserve">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w w:val="102"/>
                    </w:rPr>
                    <w:t>УТВЕРЖДАЮ</w:t>
                  </w:r>
                </w:p>
              </w:tc>
            </w:tr>
            <w:tr>
              <w:trPr>
                <w:trHeight w:val="1513" w:hRule="exact"/>
              </w:trPr>
              <w:tc>
                <w:tcPr>
                  <w:tcW w:w="3002" w:type="dxa"/>
                  <w:tcBorders/>
                </w:tcPr>
                <w:p>
                  <w:pPr>
                    <w:pStyle w:val="Normal"/>
                    <w:spacing w:before="0" w:after="0"/>
                    <w:ind w:left="142"/>
                    <w:jc w:val="both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drawing>
                      <wp:anchor behindDoc="0" distT="0" distB="0" distL="0" distR="0" simplePos="0" locked="0" layoutInCell="1" allowOverlap="1" relativeHeight="2">
                        <wp:simplePos x="0" y="0"/>
                        <wp:positionH relativeFrom="column">
                          <wp:posOffset>260985</wp:posOffset>
                        </wp:positionH>
                        <wp:positionV relativeFrom="paragraph">
                          <wp:posOffset>-793750</wp:posOffset>
                        </wp:positionV>
                        <wp:extent cx="1744980" cy="1449705"/>
                        <wp:effectExtent l="0" t="0" r="0" b="0"/>
                        <wp:wrapNone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144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19" w:type="dxa"/>
                  <w:tcBorders/>
                </w:tcPr>
                <w:p>
                  <w:pPr>
                    <w:pStyle w:val="Normal"/>
                    <w:spacing w:before="0" w:after="0"/>
                    <w:jc w:val="both"/>
                    <w:rPr>
                      <w:rFonts w:ascii="Times New Roman" w:hAnsi="Times New Roman" w:eastAsia="Calibri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</w:rPr>
                  </w:r>
                </w:p>
              </w:tc>
              <w:tc>
                <w:tcPr>
                  <w:tcW w:w="8372" w:type="dxa"/>
                  <w:tcBorders/>
                </w:tcPr>
                <w:p>
                  <w:pPr>
                    <w:pStyle w:val="Normal"/>
                    <w:spacing w:before="0" w:after="0"/>
                    <w:ind w:hanging="5536" w:left="5678"/>
                    <w:jc w:val="right"/>
                    <w:rPr>
                      <w:rFonts w:ascii="Times New Roman" w:hAnsi="Times New Roman" w:eastAsia="Times New Roman" w:cs="Times New Roman"/>
                      <w:color w:val="000000"/>
                      <w:w w:val="10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Директор МАОУ «Школа № 60»</w:t>
                  </w:r>
                </w:p>
                <w:p>
                  <w:pPr>
                    <w:pStyle w:val="Normal"/>
                    <w:spacing w:before="0" w:after="0"/>
                    <w:ind w:left="142"/>
                    <w:jc w:val="right"/>
                    <w:rPr>
                      <w:rFonts w:ascii="Times New Roman" w:hAnsi="Times New Roman" w:eastAsia="Times New Roman" w:cs="Times New Roman"/>
                      <w:color w:val="000000"/>
                      <w:w w:val="10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______________А.В. Вихтоденко </w:t>
                  </w:r>
                </w:p>
                <w:p>
                  <w:pPr>
                    <w:pStyle w:val="Normal"/>
                    <w:spacing w:before="0" w:after="0"/>
                    <w:ind w:left="142"/>
                    <w:jc w:val="right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Приказ от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03.11.2023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  <w:lang w:val="en-US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№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516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141" w:left="742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Центра цифрового образования детей «IT-куб»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2023-2024 учебный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Ростов-на-Дону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2023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</w:t>
      </w:r>
    </w:p>
    <w:tbl>
      <w:tblPr>
        <w:tblStyle w:val="a3"/>
        <w:tblW w:w="147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1"/>
        <w:gridCol w:w="3544"/>
        <w:gridCol w:w="2236"/>
        <w:gridCol w:w="1876"/>
        <w:gridCol w:w="3053"/>
      </w:tblGrid>
      <w:tr>
        <w:trPr>
          <w:trHeight w:val="451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Мероприятие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Цель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Целевая аудитория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Сроки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Ответственный за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A1A1A"/>
                <w:kern w:val="0"/>
                <w:sz w:val="24"/>
                <w:szCs w:val="24"/>
                <w:lang w:val="ru-RU" w:eastAsia="ru-RU" w:bidi="ar-SA"/>
              </w:rPr>
              <w:t>проведения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5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Организация и проведение внутришкольных и межшкольных образовательных, конкурсных, общекультурных мероприятий для обучающихся</w:t>
            </w:r>
          </w:p>
        </w:tc>
      </w:tr>
      <w:tr>
        <w:trPr>
          <w:trHeight w:val="1378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Родительские собрания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Ознакомить родителей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с программами центра «IT-куб», направленными на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освоение знаний, навыков и компетенций в сфере IT.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Родители учащихся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2023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классные руководители 5-9 классов и преподаватели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16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Открытие «IT-куба» День открытых дверей»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Познакомить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Учащихся с центром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цифрового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образования«IT-куб»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школы,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родительская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общественность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2023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классные руководители,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центра «IT-куб»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800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Начало занятий по направлениям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Начало реализации деятельности центра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2023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 и все педагоги центра «IT-куб</w:t>
            </w:r>
          </w:p>
        </w:tc>
      </w:tr>
      <w:tr>
        <w:trPr>
          <w:trHeight w:val="204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Игра на командообразование «Стройка 21 века» в рамках каждого куба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Выработка командной работы, мотивация в изучении выбранного направления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2023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 и все педагоги центра «IT-куб»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Мастер-класс по направлению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«Программирование на языке Java»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Ознакомить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с содержанием направления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«Программирование на языке Java»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и учащиеся школы, учащиеся центра «IT-куб»,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Декабрь 2023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96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Мастер-класс по направлению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«Программирование на языке Python»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Развить у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Математический кругозор,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привить интерес к логическому мышлению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«IT-куб», педагоги и учащиеся школы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Февраль 2024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881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Квест «Волшебный код»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Поиск частей кода и составление программы.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Развитие логического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мышления, быстрой реакции, сообразительности, расширение кругозора учащихся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«IT-куб.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</w:t>
            </w:r>
          </w:p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Мастер-класс по направлению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«Мобильная разработка»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Ознакомить учащихся с содержанием направления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«Мобильная разработка»,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мотивация учащихся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Март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393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Мастер-класс по направлению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«Программирование роботов»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Ознакомить учащихся с содержанием направления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«Программирование роботов», мотивация учащихся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«IT-куб», педагоги и учащиеся школы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Март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392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Школьная учебно–исследовательская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конференция «Ступени»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(презентация проектов учащихся центра «IT-куб»)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16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Продемонстрировать  деятельность центра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Март 2024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59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Муниципальный турнир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по робототехнике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популяризация робототехники, а  также развитие навыков командной работы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 течении года, согласно расписанию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785" w:type="dxa"/>
            <w:gridSpan w:val="6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Популяризация национального проекта «Образование»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Участие в методической неделе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Повышение уровня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профессионального мастерства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педагогических кадров,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включение в творческий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педагогический поиск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центра «IT-куб»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 центра «IT-куб», руководитель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785" w:type="dxa"/>
            <w:gridSpan w:val="6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Поддержка реализации сетевых образовательных программ с использованием Центра цифрового образования «IT-куб»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Мастер-класс для детей с ОВЗ «Вместе мы можем»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Развить у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Математический кругозор,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привить интерес к логическому мышлению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«IT-куб»,учащиеся школ района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Февраль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072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Конкурс «Кто быстрее?»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(сборка и разборка компьютера)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Привлечь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школ района к изучению системного администрирования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Педагоги, чащиеся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района, учащиеся центра «IT-куб», учащиеся школы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Апрель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Онлайн-квест по информатике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Развитие логического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мышления, быстрой реакции, сообразительности, расширение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кругозора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Педагоги, чащиеся района, учащиеся центра «IT-куб», учащиеся школы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Май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Педагоги, учащиеся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района, учащиеся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«IT-куб», учащиеся школы, руководитель центра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68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Выставка робототехнических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проектов «Мир вдохновенного обучения»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Развитие у учащихся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Творческих способностей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И интереса к научно- ехнической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деятельности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учащиеся центра «IT-куб»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Май 2024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центра, педагоги и учащиеся центра «IT-куб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785" w:type="dxa"/>
            <w:gridSpan w:val="6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Организация профориентационной деятельности обучающихся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81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A1A1A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Участие в проекте «Урок цифры»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Создание условий для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осознания учащимися важности построения дальнейшей индивидуальной образовательной траектории и ранней профориентации через знакомство с перспективными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 xml:space="preserve">направлениями развития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ИТ-индустрии, спектром        ИТ-профессий и возможностями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профессиональной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самореализации, спецификой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деятельности различных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специалистов.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Педагоги, чащиеся центра «IT-куб», учащиеся школы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Педагоги, учащиеся центра «IT-куб», учащиеся школы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kern w:val="0"/>
                <w:sz w:val="24"/>
                <w:szCs w:val="24"/>
                <w:lang w:val="ru-RU" w:eastAsia="ru-RU" w:bidi="ar-SA"/>
              </w:rPr>
              <w:t>Руководитель центра</w:t>
            </w:r>
          </w:p>
        </w:tc>
      </w:tr>
    </w:tbl>
    <w:p>
      <w:pPr>
        <w:pStyle w:val="Normal"/>
        <w:tabs>
          <w:tab w:val="clear" w:pos="708"/>
          <w:tab w:val="left" w:pos="3281" w:leader="none"/>
        </w:tabs>
        <w:spacing w:before="0" w:after="160"/>
        <w:rPr/>
      </w:pPr>
      <w:r>
        <w:rPr/>
        <w:tab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0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LibreOffice/7.6.0.3$MacOSX_X86_64 LibreOffice_project/69edd8b8ebc41d00b4de3915dc82f8f0fc3b6265</Application>
  <AppVersion>15.0000</AppVersion>
  <Pages>5</Pages>
  <Words>624</Words>
  <Characters>4714</Characters>
  <CharactersWithSpaces>5185</CharactersWithSpaces>
  <Paragraphs>183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2023-11-10T07:16:00Z</dcterms:created>
  <dc:creator>Alexander</dc:creator>
  <dc:description/>
  <dc:language>ru-RU</dc:language>
  <cp:lastModifiedBy/>
  <dcterms:modified xsi:type="dcterms:W3CDTF">2023-11-10T13:41:01Z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